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4E" w:rsidRPr="000346F8" w:rsidRDefault="0003724E">
      <w:pPr>
        <w:rPr>
          <w:rFonts w:ascii="Georgia" w:hAnsi="Georgia"/>
          <w:b/>
          <w:noProof/>
        </w:rPr>
      </w:pPr>
      <w:bookmarkStart w:id="0" w:name="_GoBack"/>
      <w:bookmarkEnd w:id="0"/>
    </w:p>
    <w:p w:rsidR="0003724E" w:rsidRPr="000346F8" w:rsidRDefault="000346F8" w:rsidP="000346F8">
      <w:pPr>
        <w:jc w:val="center"/>
        <w:rPr>
          <w:rFonts w:ascii="Georgia" w:hAnsi="Georgia"/>
          <w:b/>
          <w:sz w:val="40"/>
        </w:rPr>
      </w:pPr>
      <w:r w:rsidRPr="000346F8">
        <w:rPr>
          <w:rFonts w:ascii="Georgia" w:hAnsi="Georgia"/>
          <w:b/>
          <w:noProof/>
          <w:sz w:val="40"/>
        </w:rPr>
        <w:t>Building State Coalitions</w:t>
      </w:r>
    </w:p>
    <w:tbl>
      <w:tblPr>
        <w:tblStyle w:val="TableGrid"/>
        <w:tblpPr w:leftFromText="180" w:rightFromText="180" w:vertAnchor="text" w:horzAnchor="margin" w:tblpX="1255" w:tblpY="571"/>
        <w:tblW w:w="0" w:type="auto"/>
        <w:tblLook w:val="04A0" w:firstRow="1" w:lastRow="0" w:firstColumn="1" w:lastColumn="0" w:noHBand="0" w:noVBand="1"/>
      </w:tblPr>
      <w:tblGrid>
        <w:gridCol w:w="1717"/>
        <w:gridCol w:w="1878"/>
        <w:gridCol w:w="9000"/>
      </w:tblGrid>
      <w:tr w:rsidR="000346F8" w:rsidRPr="000346F8" w:rsidTr="00D77F9D">
        <w:trPr>
          <w:trHeight w:val="620"/>
        </w:trPr>
        <w:tc>
          <w:tcPr>
            <w:tcW w:w="1717" w:type="dxa"/>
          </w:tcPr>
          <w:p w:rsidR="0003724E" w:rsidRPr="000346F8" w:rsidRDefault="0003724E" w:rsidP="00FE6193">
            <w:pPr>
              <w:rPr>
                <w:rFonts w:ascii="Georgia" w:hAnsi="Georgia"/>
                <w:b/>
                <w:noProof/>
              </w:rPr>
            </w:pPr>
            <w:r w:rsidRPr="000346F8">
              <w:rPr>
                <w:rFonts w:ascii="Georgia" w:hAnsi="Georgia"/>
                <w:b/>
                <w:noProof/>
              </w:rPr>
              <w:t>State</w:t>
            </w:r>
          </w:p>
        </w:tc>
        <w:tc>
          <w:tcPr>
            <w:tcW w:w="1878" w:type="dxa"/>
          </w:tcPr>
          <w:p w:rsidR="0003724E" w:rsidRPr="000346F8" w:rsidRDefault="0003724E" w:rsidP="00FE6193">
            <w:pPr>
              <w:rPr>
                <w:rFonts w:ascii="Georgia" w:hAnsi="Georgia"/>
                <w:b/>
                <w:noProof/>
              </w:rPr>
            </w:pPr>
            <w:r w:rsidRPr="000346F8">
              <w:rPr>
                <w:rFonts w:ascii="Georgia" w:hAnsi="Georgia"/>
                <w:b/>
                <w:noProof/>
              </w:rPr>
              <w:t xml:space="preserve">Number of Authorizers </w:t>
            </w:r>
            <w:r w:rsidR="008315CB" w:rsidRPr="000346F8">
              <w:rPr>
                <w:rFonts w:ascii="Georgia" w:hAnsi="Georgia"/>
                <w:b/>
                <w:noProof/>
              </w:rPr>
              <w:t>Statewide</w:t>
            </w:r>
          </w:p>
        </w:tc>
        <w:tc>
          <w:tcPr>
            <w:tcW w:w="9000" w:type="dxa"/>
          </w:tcPr>
          <w:p w:rsidR="0003724E" w:rsidRPr="000346F8" w:rsidRDefault="008315CB" w:rsidP="00FE6193">
            <w:pPr>
              <w:rPr>
                <w:rFonts w:ascii="Georgia" w:hAnsi="Georgia"/>
                <w:b/>
                <w:noProof/>
              </w:rPr>
            </w:pPr>
            <w:r w:rsidRPr="000346F8">
              <w:rPr>
                <w:rFonts w:ascii="Georgia" w:hAnsi="Georgia"/>
                <w:b/>
                <w:noProof/>
              </w:rPr>
              <w:t>Information</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California</w:t>
            </w:r>
          </w:p>
        </w:tc>
        <w:tc>
          <w:tcPr>
            <w:tcW w:w="1878" w:type="dxa"/>
          </w:tcPr>
          <w:p w:rsidR="008315CB" w:rsidRPr="000346F8" w:rsidRDefault="00E07E5B" w:rsidP="00FE6193">
            <w:pPr>
              <w:rPr>
                <w:rFonts w:ascii="Georgia" w:hAnsi="Georgia"/>
                <w:noProof/>
              </w:rPr>
            </w:pPr>
            <w:r w:rsidRPr="000346F8">
              <w:rPr>
                <w:rFonts w:ascii="Georgia" w:hAnsi="Georgia"/>
                <w:noProof/>
              </w:rPr>
              <w:t>324</w:t>
            </w:r>
          </w:p>
        </w:tc>
        <w:tc>
          <w:tcPr>
            <w:tcW w:w="9000" w:type="dxa"/>
          </w:tcPr>
          <w:p w:rsidR="00236C12" w:rsidRPr="000346F8" w:rsidRDefault="008315CB" w:rsidP="00FE6193">
            <w:pPr>
              <w:rPr>
                <w:rFonts w:ascii="Georgia" w:hAnsi="Georgia"/>
                <w:noProof/>
              </w:rPr>
            </w:pPr>
            <w:r w:rsidRPr="000346F8">
              <w:rPr>
                <w:rFonts w:ascii="Georgia" w:hAnsi="Georgia"/>
                <w:noProof/>
              </w:rPr>
              <w:t xml:space="preserve">Two authorizer organizations: </w:t>
            </w:r>
          </w:p>
          <w:p w:rsidR="005B019F" w:rsidRPr="000346F8" w:rsidRDefault="005B019F" w:rsidP="00FE6193">
            <w:pPr>
              <w:rPr>
                <w:rFonts w:ascii="Georgia" w:hAnsi="Georgia"/>
                <w:noProof/>
              </w:rPr>
            </w:pPr>
          </w:p>
          <w:p w:rsidR="00236C12" w:rsidRPr="000346F8" w:rsidRDefault="008315CB" w:rsidP="00236C12">
            <w:pPr>
              <w:pStyle w:val="ListParagraph"/>
              <w:numPr>
                <w:ilvl w:val="0"/>
                <w:numId w:val="1"/>
              </w:numPr>
              <w:rPr>
                <w:rFonts w:ascii="Georgia" w:hAnsi="Georgia"/>
                <w:noProof/>
              </w:rPr>
            </w:pPr>
            <w:r w:rsidRPr="000346F8">
              <w:rPr>
                <w:rFonts w:ascii="Georgia" w:hAnsi="Georgia"/>
                <w:noProof/>
              </w:rPr>
              <w:t>Charter Authorizers’ Resource Network (CARSNet)</w:t>
            </w:r>
          </w:p>
          <w:p w:rsidR="00236C12" w:rsidRPr="000346F8" w:rsidRDefault="00236C12" w:rsidP="00236C12">
            <w:pPr>
              <w:pStyle w:val="ListParagraph"/>
              <w:rPr>
                <w:rFonts w:ascii="Georgia" w:hAnsi="Georgia"/>
                <w:noProof/>
              </w:rPr>
            </w:pPr>
          </w:p>
          <w:p w:rsidR="00236C12" w:rsidRPr="000346F8" w:rsidRDefault="00236C12" w:rsidP="005B019F">
            <w:pPr>
              <w:rPr>
                <w:rFonts w:ascii="Georgia" w:hAnsi="Georgia"/>
                <w:noProof/>
              </w:rPr>
            </w:pPr>
            <w:r w:rsidRPr="000346F8">
              <w:rPr>
                <w:rFonts w:ascii="Georgia" w:hAnsi="Georgia"/>
                <w:noProof/>
              </w:rPr>
              <w:t xml:space="preserve">Website: </w:t>
            </w:r>
            <w:hyperlink r:id="rId7" w:history="1">
              <w:r w:rsidRPr="000346F8">
                <w:rPr>
                  <w:rStyle w:val="Hyperlink"/>
                  <w:rFonts w:ascii="Georgia" w:hAnsi="Georgia"/>
                  <w:noProof/>
                  <w:color w:val="auto"/>
                </w:rPr>
                <w:t>http://carsnet.org/</w:t>
              </w:r>
            </w:hyperlink>
          </w:p>
          <w:p w:rsidR="000346F8" w:rsidRPr="000346F8" w:rsidRDefault="000346F8" w:rsidP="000346F8">
            <w:pPr>
              <w:rPr>
                <w:rFonts w:ascii="Georgia" w:hAnsi="Georgia"/>
                <w:noProof/>
              </w:rPr>
            </w:pPr>
            <w:r w:rsidRPr="000346F8">
              <w:rPr>
                <w:rFonts w:ascii="Georgia" w:hAnsi="Georgia"/>
                <w:noProof/>
              </w:rPr>
              <w:t>Dues: Unknown</w:t>
            </w:r>
          </w:p>
          <w:p w:rsidR="005B019F" w:rsidRPr="000346F8" w:rsidRDefault="005B019F" w:rsidP="00236C12">
            <w:pPr>
              <w:pStyle w:val="ListParagraph"/>
              <w:rPr>
                <w:rFonts w:ascii="Georgia" w:hAnsi="Georgia"/>
                <w:noProof/>
              </w:rPr>
            </w:pPr>
          </w:p>
          <w:p w:rsidR="005B019F" w:rsidRPr="005B019F" w:rsidRDefault="005B019F" w:rsidP="005B019F">
            <w:pPr>
              <w:shd w:val="clear" w:color="auto" w:fill="FFFFFF"/>
              <w:textAlignment w:val="baseline"/>
              <w:rPr>
                <w:rFonts w:ascii="Georgia" w:eastAsia="Times New Roman" w:hAnsi="Georgia" w:cs="Lucida Grande"/>
                <w:i/>
                <w:lang w:val="en"/>
              </w:rPr>
            </w:pPr>
            <w:r w:rsidRPr="005B019F">
              <w:rPr>
                <w:rFonts w:ascii="Georgia" w:eastAsia="Times New Roman" w:hAnsi="Georgia" w:cs="Lucida Grande"/>
                <w:i/>
                <w:lang w:val="en"/>
              </w:rPr>
              <w:t>The Charter Authorizers Regional Support Network or CARSNet is a project of the Alameda County Office of Education funded by a U.S. Department of Education’s Charter Schools Program National Leadership Activities Grant awarded in March 2015.  It is designed to improve the capacity of charter authorizing agencies and their staff to conduct rigorous application reviews, monitor and oversee charter schools using multiple sources of data, maintain a portfolio of high-quality charter schools, and evaluate and disseminate information on charter school performance. </w:t>
            </w:r>
            <w:r w:rsidRPr="000346F8">
              <w:rPr>
                <w:rFonts w:ascii="Georgia" w:eastAsia="Times New Roman" w:hAnsi="Georgia" w:cs="Lucida Grande"/>
                <w:i/>
                <w:lang w:val="en"/>
              </w:rPr>
              <w:t xml:space="preserve"> </w:t>
            </w:r>
            <w:r w:rsidRPr="000346F8">
              <w:rPr>
                <w:rFonts w:ascii="Georgia" w:eastAsia="Times New Roman" w:hAnsi="Georgia" w:cs="Lucida Grande"/>
                <w:bCs/>
                <w:i/>
                <w:lang w:val="en"/>
              </w:rPr>
              <w:t>The program includes:</w:t>
            </w:r>
            <w:r w:rsidRPr="000346F8">
              <w:rPr>
                <w:rFonts w:ascii="Georgia" w:eastAsia="Times New Roman" w:hAnsi="Georgia" w:cs="Lucida Grande"/>
                <w:i/>
                <w:lang w:val="en"/>
              </w:rPr>
              <w:t xml:space="preserve"> </w:t>
            </w:r>
            <w:r w:rsidRPr="005B019F">
              <w:rPr>
                <w:rFonts w:ascii="Georgia" w:eastAsia="Times New Roman" w:hAnsi="Georgia" w:cs="Lucida Grande"/>
                <w:i/>
                <w:lang w:val="en"/>
              </w:rPr>
              <w:t xml:space="preserve">An annual conference </w:t>
            </w:r>
            <w:r w:rsidRPr="000346F8">
              <w:rPr>
                <w:rFonts w:ascii="Georgia" w:eastAsia="Times New Roman" w:hAnsi="Georgia" w:cs="Lucida Grande"/>
                <w:i/>
                <w:iCs/>
                <w:bdr w:val="none" w:sz="0" w:space="0" w:color="auto" w:frame="1"/>
                <w:lang w:val="en"/>
              </w:rPr>
              <w:t>specifically</w:t>
            </w:r>
            <w:r w:rsidRPr="005B019F">
              <w:rPr>
                <w:rFonts w:ascii="Georgia" w:eastAsia="Times New Roman" w:hAnsi="Georgia" w:cs="Lucida Grande"/>
                <w:i/>
                <w:lang w:val="en"/>
              </w:rPr>
              <w:t xml:space="preserve"> for charter school authorizing agency staff and board members</w:t>
            </w:r>
            <w:r w:rsidRPr="000346F8">
              <w:rPr>
                <w:rFonts w:ascii="Georgia" w:eastAsia="Times New Roman" w:hAnsi="Georgia" w:cs="Lucida Grande"/>
                <w:i/>
                <w:lang w:val="en"/>
              </w:rPr>
              <w:t>; r</w:t>
            </w:r>
            <w:r w:rsidRPr="005B019F">
              <w:rPr>
                <w:rFonts w:ascii="Georgia" w:eastAsia="Times New Roman" w:hAnsi="Georgia" w:cs="Lucida Grande"/>
                <w:i/>
                <w:lang w:val="en"/>
              </w:rPr>
              <w:t>egional leaders bringing charter authorizers together to share knowledge and resources</w:t>
            </w:r>
            <w:r w:rsidRPr="000346F8">
              <w:rPr>
                <w:rFonts w:ascii="Georgia" w:eastAsia="Times New Roman" w:hAnsi="Georgia" w:cs="Lucida Grande"/>
                <w:i/>
                <w:lang w:val="en"/>
              </w:rPr>
              <w:t>; c</w:t>
            </w:r>
            <w:r w:rsidRPr="005B019F">
              <w:rPr>
                <w:rFonts w:ascii="Georgia" w:eastAsia="Times New Roman" w:hAnsi="Georgia" w:cs="Lucida Grande"/>
                <w:i/>
                <w:lang w:val="en"/>
              </w:rPr>
              <w:t>omprehensive training program for beginners and more experienced authorizers</w:t>
            </w:r>
            <w:r w:rsidRPr="000346F8">
              <w:rPr>
                <w:rFonts w:ascii="Georgia" w:eastAsia="Times New Roman" w:hAnsi="Georgia" w:cs="Lucida Grande"/>
                <w:i/>
                <w:lang w:val="en"/>
              </w:rPr>
              <w:t>; and a w</w:t>
            </w:r>
            <w:r w:rsidRPr="005B019F">
              <w:rPr>
                <w:rFonts w:ascii="Georgia" w:eastAsia="Times New Roman" w:hAnsi="Georgia" w:cs="Lucida Grande"/>
                <w:i/>
                <w:lang w:val="en"/>
              </w:rPr>
              <w:t>ebsite with resources, tools and an on-line community</w:t>
            </w:r>
            <w:r w:rsidRPr="000346F8">
              <w:rPr>
                <w:rFonts w:ascii="Georgia" w:eastAsia="Times New Roman" w:hAnsi="Georgia" w:cs="Lucida Grande"/>
                <w:i/>
                <w:lang w:val="en"/>
              </w:rPr>
              <w:t>.</w:t>
            </w:r>
          </w:p>
          <w:p w:rsidR="005B019F" w:rsidRPr="000346F8" w:rsidRDefault="005B019F" w:rsidP="005B019F">
            <w:pPr>
              <w:pStyle w:val="ListParagraph"/>
              <w:rPr>
                <w:rFonts w:ascii="Georgia" w:hAnsi="Georgia"/>
                <w:noProof/>
              </w:rPr>
            </w:pPr>
          </w:p>
          <w:p w:rsidR="00236C12" w:rsidRPr="000346F8" w:rsidRDefault="00236C12" w:rsidP="00FE6193">
            <w:pPr>
              <w:rPr>
                <w:rFonts w:ascii="Georgia" w:hAnsi="Georgia"/>
                <w:noProof/>
              </w:rPr>
            </w:pPr>
          </w:p>
          <w:p w:rsidR="00236C12" w:rsidRPr="000346F8" w:rsidRDefault="00236C12" w:rsidP="00236C12">
            <w:pPr>
              <w:pStyle w:val="ListParagraph"/>
              <w:numPr>
                <w:ilvl w:val="0"/>
                <w:numId w:val="1"/>
              </w:numPr>
              <w:rPr>
                <w:rFonts w:ascii="Georgia" w:hAnsi="Georgia"/>
                <w:noProof/>
              </w:rPr>
            </w:pPr>
            <w:r w:rsidRPr="000346F8">
              <w:rPr>
                <w:rFonts w:ascii="Georgia" w:hAnsi="Georgia"/>
                <w:noProof/>
              </w:rPr>
              <w:t>California Charter Authorizing Professionals (CCAP)</w:t>
            </w:r>
          </w:p>
          <w:p w:rsidR="00236C12" w:rsidRPr="000346F8" w:rsidRDefault="00236C12" w:rsidP="00236C12">
            <w:pPr>
              <w:pStyle w:val="ListParagraph"/>
              <w:rPr>
                <w:rFonts w:ascii="Georgia" w:hAnsi="Georgia"/>
                <w:noProof/>
              </w:rPr>
            </w:pPr>
          </w:p>
          <w:p w:rsidR="00236C12" w:rsidRPr="000346F8" w:rsidRDefault="00236C12" w:rsidP="005B019F">
            <w:pPr>
              <w:rPr>
                <w:rFonts w:ascii="Georgia" w:hAnsi="Georgia"/>
                <w:noProof/>
              </w:rPr>
            </w:pPr>
            <w:r w:rsidRPr="000346F8">
              <w:rPr>
                <w:rFonts w:ascii="Georgia" w:hAnsi="Georgia"/>
                <w:noProof/>
              </w:rPr>
              <w:t xml:space="preserve">Website: </w:t>
            </w:r>
            <w:hyperlink r:id="rId8" w:history="1">
              <w:r w:rsidRPr="000346F8">
                <w:rPr>
                  <w:rStyle w:val="Hyperlink"/>
                  <w:rFonts w:ascii="Georgia" w:hAnsi="Georgia"/>
                  <w:noProof/>
                  <w:color w:val="auto"/>
                </w:rPr>
                <w:t>http://www.calauthorizers.org/</w:t>
              </w:r>
            </w:hyperlink>
            <w:r w:rsidRPr="000346F8">
              <w:rPr>
                <w:rFonts w:ascii="Georgia" w:hAnsi="Georgia"/>
                <w:noProof/>
              </w:rPr>
              <w:t xml:space="preserve"> </w:t>
            </w:r>
          </w:p>
          <w:p w:rsidR="00A5422C" w:rsidRPr="000346F8" w:rsidRDefault="00A5422C" w:rsidP="005B019F">
            <w:pPr>
              <w:rPr>
                <w:rFonts w:ascii="Georgia" w:hAnsi="Georgia"/>
                <w:noProof/>
              </w:rPr>
            </w:pPr>
            <w:r w:rsidRPr="000346F8">
              <w:rPr>
                <w:rFonts w:ascii="Georgia" w:hAnsi="Georgia"/>
                <w:noProof/>
              </w:rPr>
              <w:t>Dues: Yes $250-$1,500 per authorizer</w:t>
            </w:r>
          </w:p>
          <w:p w:rsidR="005B019F" w:rsidRPr="000346F8" w:rsidRDefault="005B019F" w:rsidP="00236C12">
            <w:pPr>
              <w:pStyle w:val="ListParagraph"/>
              <w:rPr>
                <w:rFonts w:ascii="Georgia" w:hAnsi="Georgia"/>
                <w:noProof/>
              </w:rPr>
            </w:pPr>
          </w:p>
          <w:p w:rsidR="005B019F" w:rsidRPr="000346F8" w:rsidRDefault="005B019F" w:rsidP="005B019F">
            <w:pPr>
              <w:rPr>
                <w:rFonts w:ascii="Georgia" w:eastAsia="Times New Roman" w:hAnsi="Georgia" w:cs="Times New Roman"/>
                <w:i/>
              </w:rPr>
            </w:pPr>
            <w:r w:rsidRPr="005B019F">
              <w:rPr>
                <w:rFonts w:ascii="Georgia" w:eastAsia="Times New Roman" w:hAnsi="Georgia" w:cs="Times New Roman"/>
                <w:i/>
              </w:rPr>
              <w:t>California Charter Authorizing Professionals (CCAP) are working together to ensure quality charter schools in California's public education sector by providing a network of support and resources to build professional capacity of the individuals serving this vital role. We invite you to be a part of this important work by joining CCAP and supporting our mission. Together we can and will make a positive impact on the future of education in our state.</w:t>
            </w:r>
            <w:r w:rsidRPr="000346F8">
              <w:rPr>
                <w:rFonts w:ascii="Georgia" w:eastAsia="Times New Roman" w:hAnsi="Georgia" w:cs="Times New Roman"/>
                <w:i/>
              </w:rPr>
              <w:t xml:space="preserve"> </w:t>
            </w:r>
            <w:r w:rsidRPr="000346F8">
              <w:rPr>
                <w:rFonts w:ascii="Georgia" w:hAnsi="Georgia"/>
                <w:i/>
              </w:rPr>
              <w:t xml:space="preserve">Members of the California Charter Authorizing Professionals (CCAP) advance quality public education for all students by providing charter school </w:t>
            </w:r>
            <w:r w:rsidRPr="000346F8">
              <w:rPr>
                <w:rFonts w:ascii="Georgia" w:hAnsi="Georgia"/>
                <w:i/>
              </w:rPr>
              <w:lastRenderedPageBreak/>
              <w:t>authorizing professionals with the support, resources, and collective voice necessary to foster high-performing, fiscally sound, autonomous, and accountable charter schools.</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lastRenderedPageBreak/>
              <w:t>Colorado</w:t>
            </w:r>
          </w:p>
        </w:tc>
        <w:tc>
          <w:tcPr>
            <w:tcW w:w="1878" w:type="dxa"/>
          </w:tcPr>
          <w:p w:rsidR="008315CB" w:rsidRPr="000346F8" w:rsidRDefault="00E07E5B" w:rsidP="00FE6193">
            <w:pPr>
              <w:rPr>
                <w:rFonts w:ascii="Georgia" w:hAnsi="Georgia"/>
                <w:noProof/>
              </w:rPr>
            </w:pPr>
            <w:r w:rsidRPr="000346F8">
              <w:rPr>
                <w:rFonts w:ascii="Georgia" w:hAnsi="Georgia"/>
                <w:noProof/>
              </w:rPr>
              <w:t>49</w:t>
            </w:r>
          </w:p>
        </w:tc>
        <w:tc>
          <w:tcPr>
            <w:tcW w:w="9000" w:type="dxa"/>
          </w:tcPr>
          <w:p w:rsidR="008315CB" w:rsidRPr="000346F8" w:rsidRDefault="00236C12" w:rsidP="00FE6193">
            <w:pPr>
              <w:rPr>
                <w:rFonts w:ascii="Georgia" w:hAnsi="Georgia"/>
                <w:noProof/>
              </w:rPr>
            </w:pPr>
            <w:r w:rsidRPr="000346F8">
              <w:rPr>
                <w:rFonts w:ascii="Georgia" w:hAnsi="Georgia"/>
                <w:noProof/>
              </w:rPr>
              <w:t>Unknown</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Florida</w:t>
            </w:r>
          </w:p>
        </w:tc>
        <w:tc>
          <w:tcPr>
            <w:tcW w:w="1878" w:type="dxa"/>
          </w:tcPr>
          <w:p w:rsidR="008315CB" w:rsidRPr="000346F8" w:rsidRDefault="00E07E5B" w:rsidP="00FE6193">
            <w:pPr>
              <w:rPr>
                <w:rFonts w:ascii="Georgia" w:hAnsi="Georgia"/>
                <w:noProof/>
              </w:rPr>
            </w:pPr>
            <w:r w:rsidRPr="000346F8">
              <w:rPr>
                <w:rFonts w:ascii="Georgia" w:hAnsi="Georgia"/>
                <w:noProof/>
              </w:rPr>
              <w:t>48</w:t>
            </w:r>
          </w:p>
        </w:tc>
        <w:tc>
          <w:tcPr>
            <w:tcW w:w="9000" w:type="dxa"/>
          </w:tcPr>
          <w:p w:rsidR="00D77F9D" w:rsidRPr="000346F8" w:rsidRDefault="00D77F9D" w:rsidP="00FE6193">
            <w:pPr>
              <w:rPr>
                <w:rFonts w:ascii="Georgia" w:hAnsi="Georgia" w:cs="Tahoma"/>
              </w:rPr>
            </w:pPr>
            <w:r w:rsidRPr="000346F8">
              <w:rPr>
                <w:rFonts w:ascii="Georgia" w:hAnsi="Georgia" w:cs="Tahoma"/>
              </w:rPr>
              <w:t>Florida Association of Charter School Authorizers</w:t>
            </w:r>
          </w:p>
          <w:p w:rsidR="00236C12" w:rsidRPr="000346F8" w:rsidRDefault="00236C12" w:rsidP="00FE6193">
            <w:pPr>
              <w:rPr>
                <w:rFonts w:ascii="Georgia" w:hAnsi="Georgia" w:cs="Tahoma"/>
              </w:rPr>
            </w:pPr>
          </w:p>
          <w:p w:rsidR="002A5645" w:rsidRPr="000346F8" w:rsidRDefault="00FE6193" w:rsidP="00FE6193">
            <w:pPr>
              <w:rPr>
                <w:rFonts w:ascii="Georgia" w:hAnsi="Georgia" w:cs="Tahoma"/>
              </w:rPr>
            </w:pPr>
            <w:r w:rsidRPr="000346F8">
              <w:rPr>
                <w:rFonts w:ascii="Georgia" w:hAnsi="Georgia" w:cs="Tahoma"/>
              </w:rPr>
              <w:t xml:space="preserve">Website: </w:t>
            </w:r>
            <w:hyperlink r:id="rId9" w:history="1">
              <w:r w:rsidRPr="000346F8">
                <w:rPr>
                  <w:rStyle w:val="Hyperlink"/>
                  <w:rFonts w:ascii="Georgia" w:hAnsi="Georgia" w:cs="Tahoma"/>
                  <w:color w:val="auto"/>
                </w:rPr>
                <w:t>http://www.floridacharterauthorizers.org/</w:t>
              </w:r>
            </w:hyperlink>
          </w:p>
          <w:p w:rsidR="00236C12" w:rsidRPr="000346F8" w:rsidRDefault="002A5645" w:rsidP="00FE6193">
            <w:pPr>
              <w:rPr>
                <w:rFonts w:ascii="Georgia" w:hAnsi="Georgia" w:cs="Tahoma"/>
              </w:rPr>
            </w:pPr>
            <w:r w:rsidRPr="000346F8">
              <w:rPr>
                <w:rFonts w:ascii="Georgia" w:hAnsi="Georgia" w:cs="Tahoma"/>
              </w:rPr>
              <w:t>Dues: Yes - $15-$175</w:t>
            </w:r>
            <w:r w:rsidR="00D77F9D" w:rsidRPr="000346F8">
              <w:rPr>
                <w:rFonts w:ascii="Georgia" w:hAnsi="Georgia" w:cs="Tahoma"/>
              </w:rPr>
              <w:t xml:space="preserve"> </w:t>
            </w:r>
          </w:p>
          <w:p w:rsidR="00FE6193" w:rsidRPr="000346F8" w:rsidRDefault="00FE6193" w:rsidP="00FE6193">
            <w:pPr>
              <w:rPr>
                <w:rFonts w:ascii="Georgia" w:hAnsi="Georgia" w:cs="Tahoma"/>
              </w:rPr>
            </w:pPr>
            <w:r w:rsidRPr="000346F8">
              <w:rPr>
                <w:rFonts w:ascii="Georgia" w:hAnsi="Georgia" w:cs="Tahoma"/>
              </w:rPr>
              <w:t xml:space="preserve"> </w:t>
            </w:r>
          </w:p>
          <w:p w:rsidR="008315CB" w:rsidRPr="000346F8" w:rsidRDefault="00D77F9D" w:rsidP="00FE6193">
            <w:pPr>
              <w:rPr>
                <w:rFonts w:ascii="Georgia" w:hAnsi="Georgia" w:cs="Tahoma"/>
                <w:i/>
              </w:rPr>
            </w:pPr>
            <w:r w:rsidRPr="000346F8">
              <w:rPr>
                <w:rStyle w:val="Emphasis"/>
                <w:rFonts w:ascii="Georgia" w:hAnsi="Georgia" w:cs="Arial"/>
                <w:bCs/>
              </w:rPr>
              <w:t>A</w:t>
            </w:r>
            <w:r w:rsidR="00FE6193" w:rsidRPr="000346F8">
              <w:rPr>
                <w:rStyle w:val="Emphasis"/>
                <w:rFonts w:ascii="Georgia" w:hAnsi="Georgia" w:cs="Arial"/>
                <w:bCs/>
              </w:rPr>
              <w:t xml:space="preserve"> membership organization for charter school authorizers dedicated to promoting </w:t>
            </w:r>
            <w:r w:rsidR="00FE6193" w:rsidRPr="000346F8">
              <w:rPr>
                <w:rFonts w:ascii="Georgia" w:hAnsi="Georgia" w:cs="Arial"/>
                <w:bCs/>
                <w:iCs/>
              </w:rPr>
              <w:br/>
            </w:r>
            <w:r w:rsidR="00FE6193" w:rsidRPr="000346F8">
              <w:rPr>
                <w:rStyle w:val="Emphasis"/>
                <w:rFonts w:ascii="Georgia" w:hAnsi="Georgia" w:cs="Arial"/>
                <w:bCs/>
              </w:rPr>
              <w:t>the principles and standards of high quality charter school authorizing</w:t>
            </w:r>
            <w:r w:rsidRPr="000346F8">
              <w:rPr>
                <w:rStyle w:val="Emphasis"/>
                <w:rFonts w:ascii="Georgia" w:hAnsi="Georgia" w:cs="Arial"/>
                <w:bCs/>
              </w:rPr>
              <w:t>.</w:t>
            </w:r>
            <w:r w:rsidRPr="000346F8">
              <w:rPr>
                <w:rStyle w:val="Emphasis"/>
                <w:rFonts w:ascii="Georgia" w:hAnsi="Georgia" w:cs="Arial"/>
                <w:bCs/>
                <w:i w:val="0"/>
              </w:rPr>
              <w:t xml:space="preserve"> </w:t>
            </w:r>
            <w:r w:rsidR="00FE6193" w:rsidRPr="000346F8">
              <w:rPr>
                <w:rFonts w:ascii="Georgia" w:hAnsi="Georgia" w:cs="Tahoma"/>
                <w:i/>
              </w:rPr>
              <w:t>Members will become part of a network of authorizers who work collaboratively to discuss trends, issues and best practices in charter school education. Members will articulate with professionals who function as authorizers to track current trends in charter school authorizing. Members will be eligible to attend a minimum of six meetings a year, where you will have a voice to discuss timely issues that affect charter schools, such as applications, renewals, legislative topics, and more.</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Georgia</w:t>
            </w:r>
          </w:p>
        </w:tc>
        <w:tc>
          <w:tcPr>
            <w:tcW w:w="1878" w:type="dxa"/>
          </w:tcPr>
          <w:p w:rsidR="008315CB" w:rsidRPr="000346F8" w:rsidRDefault="00E07E5B" w:rsidP="00FE6193">
            <w:pPr>
              <w:rPr>
                <w:rFonts w:ascii="Georgia" w:hAnsi="Georgia"/>
                <w:noProof/>
              </w:rPr>
            </w:pPr>
            <w:r w:rsidRPr="000346F8">
              <w:rPr>
                <w:rFonts w:ascii="Georgia" w:hAnsi="Georgia"/>
                <w:noProof/>
              </w:rPr>
              <w:t>46</w:t>
            </w:r>
          </w:p>
        </w:tc>
        <w:tc>
          <w:tcPr>
            <w:tcW w:w="9000" w:type="dxa"/>
          </w:tcPr>
          <w:p w:rsidR="008315CB" w:rsidRPr="000346F8" w:rsidRDefault="00236C12" w:rsidP="00FE6193">
            <w:pPr>
              <w:rPr>
                <w:rFonts w:ascii="Georgia" w:hAnsi="Georgia"/>
                <w:noProof/>
              </w:rPr>
            </w:pPr>
            <w:r w:rsidRPr="000346F8">
              <w:rPr>
                <w:rFonts w:ascii="Georgia" w:hAnsi="Georgia"/>
                <w:noProof/>
              </w:rPr>
              <w:t>Unknown</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Michigan</w:t>
            </w:r>
          </w:p>
        </w:tc>
        <w:tc>
          <w:tcPr>
            <w:tcW w:w="1878" w:type="dxa"/>
          </w:tcPr>
          <w:p w:rsidR="008315CB" w:rsidRPr="000346F8" w:rsidRDefault="00E07E5B" w:rsidP="00FE6193">
            <w:pPr>
              <w:rPr>
                <w:rFonts w:ascii="Georgia" w:hAnsi="Georgia"/>
                <w:noProof/>
              </w:rPr>
            </w:pPr>
            <w:r w:rsidRPr="000346F8">
              <w:rPr>
                <w:rFonts w:ascii="Georgia" w:hAnsi="Georgia"/>
                <w:noProof/>
              </w:rPr>
              <w:t>40</w:t>
            </w:r>
          </w:p>
        </w:tc>
        <w:tc>
          <w:tcPr>
            <w:tcW w:w="9000" w:type="dxa"/>
          </w:tcPr>
          <w:p w:rsidR="008315CB" w:rsidRPr="000346F8" w:rsidRDefault="00D77F9D" w:rsidP="00FE6193">
            <w:pPr>
              <w:rPr>
                <w:rFonts w:ascii="Georgia" w:hAnsi="Georgia"/>
                <w:noProof/>
              </w:rPr>
            </w:pPr>
            <w:r w:rsidRPr="000346F8">
              <w:rPr>
                <w:rFonts w:ascii="Georgia" w:hAnsi="Georgia"/>
                <w:noProof/>
              </w:rPr>
              <w:t>Michigan Council of Charter School Authorizers</w:t>
            </w:r>
          </w:p>
          <w:p w:rsidR="00236C12" w:rsidRPr="000346F8" w:rsidRDefault="00236C12" w:rsidP="00FE6193">
            <w:pPr>
              <w:rPr>
                <w:rFonts w:ascii="Georgia" w:hAnsi="Georgia"/>
                <w:noProof/>
              </w:rPr>
            </w:pPr>
          </w:p>
          <w:p w:rsidR="00A72C15" w:rsidRPr="000346F8" w:rsidRDefault="00A72C15" w:rsidP="00FE6193">
            <w:pPr>
              <w:rPr>
                <w:rFonts w:ascii="Georgia" w:hAnsi="Georgia"/>
                <w:noProof/>
              </w:rPr>
            </w:pPr>
            <w:r w:rsidRPr="000346F8">
              <w:rPr>
                <w:rFonts w:ascii="Georgia" w:hAnsi="Georgia"/>
                <w:noProof/>
              </w:rPr>
              <w:t xml:space="preserve">Website: </w:t>
            </w:r>
            <w:hyperlink r:id="rId10" w:history="1">
              <w:r w:rsidRPr="000346F8">
                <w:rPr>
                  <w:rStyle w:val="Hyperlink"/>
                  <w:rFonts w:ascii="Georgia" w:hAnsi="Georgia"/>
                  <w:noProof/>
                  <w:color w:val="auto"/>
                </w:rPr>
                <w:t>http://michiganauthorizers.com/</w:t>
              </w:r>
            </w:hyperlink>
            <w:r w:rsidRPr="000346F8">
              <w:rPr>
                <w:rFonts w:ascii="Georgia" w:hAnsi="Georgia"/>
                <w:noProof/>
              </w:rPr>
              <w:t xml:space="preserve"> </w:t>
            </w:r>
          </w:p>
          <w:p w:rsidR="000346F8" w:rsidRPr="000346F8" w:rsidRDefault="000346F8" w:rsidP="00FE6193">
            <w:pPr>
              <w:rPr>
                <w:rFonts w:ascii="Georgia" w:hAnsi="Georgia"/>
                <w:noProof/>
              </w:rPr>
            </w:pPr>
            <w:r w:rsidRPr="000346F8">
              <w:rPr>
                <w:rFonts w:ascii="Georgia" w:hAnsi="Georgia"/>
                <w:noProof/>
              </w:rPr>
              <w:t>Dues: Unknown</w:t>
            </w:r>
          </w:p>
          <w:p w:rsidR="00A72C15" w:rsidRPr="000346F8" w:rsidRDefault="00A72C15" w:rsidP="00FE6193">
            <w:pPr>
              <w:rPr>
                <w:rFonts w:ascii="Georgia" w:hAnsi="Georgia"/>
                <w:noProof/>
              </w:rPr>
            </w:pPr>
          </w:p>
          <w:p w:rsidR="00A72C15" w:rsidRPr="000346F8" w:rsidRDefault="00A72C15" w:rsidP="00FE6193">
            <w:pPr>
              <w:rPr>
                <w:rFonts w:ascii="Georgia" w:hAnsi="Georgia"/>
                <w:i/>
                <w:noProof/>
              </w:rPr>
            </w:pPr>
            <w:r w:rsidRPr="000346F8">
              <w:rPr>
                <w:rFonts w:ascii="Georgia" w:hAnsi="Georgia"/>
                <w:i/>
              </w:rPr>
              <w:t>The Michigan Council of Charter School Authorizers (Michigan Authorizers) is a collaborative non-profit, non-partisan organization dedicated to providing quality oversight of the 265 charter schools operating in Michigan that serve more than 131,000 students. The Michigan Authorizers have been working together to provide high-quality educational opportunities for students and oversee the enhancement and sustainability of Michigan’s charter school network since 1994 – serving their students, families, and communities.</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Minnesota</w:t>
            </w:r>
          </w:p>
        </w:tc>
        <w:tc>
          <w:tcPr>
            <w:tcW w:w="1878" w:type="dxa"/>
          </w:tcPr>
          <w:p w:rsidR="008315CB" w:rsidRPr="000346F8" w:rsidRDefault="00E07E5B" w:rsidP="00FE6193">
            <w:pPr>
              <w:rPr>
                <w:rFonts w:ascii="Georgia" w:hAnsi="Georgia"/>
                <w:noProof/>
              </w:rPr>
            </w:pPr>
            <w:r w:rsidRPr="000346F8">
              <w:rPr>
                <w:rFonts w:ascii="Georgia" w:hAnsi="Georgia"/>
                <w:noProof/>
              </w:rPr>
              <w:t>13</w:t>
            </w:r>
          </w:p>
        </w:tc>
        <w:tc>
          <w:tcPr>
            <w:tcW w:w="9000" w:type="dxa"/>
          </w:tcPr>
          <w:p w:rsidR="008315CB" w:rsidRPr="000346F8" w:rsidRDefault="00A72C15" w:rsidP="00FE6193">
            <w:pPr>
              <w:rPr>
                <w:rFonts w:ascii="Georgia" w:hAnsi="Georgia"/>
                <w:noProof/>
              </w:rPr>
            </w:pPr>
            <w:r w:rsidRPr="000346F8">
              <w:rPr>
                <w:rFonts w:ascii="Georgia" w:hAnsi="Georgia"/>
                <w:noProof/>
              </w:rPr>
              <w:t>Minnesota Association of Charter School Authorizers</w:t>
            </w:r>
          </w:p>
          <w:p w:rsidR="000346F8" w:rsidRPr="000346F8" w:rsidRDefault="000346F8" w:rsidP="00FE6193">
            <w:pPr>
              <w:rPr>
                <w:rFonts w:ascii="Georgia" w:hAnsi="Georgia"/>
                <w:noProof/>
              </w:rPr>
            </w:pPr>
          </w:p>
          <w:p w:rsidR="00A72C15" w:rsidRPr="000346F8" w:rsidRDefault="00A72C15" w:rsidP="00FE6193">
            <w:pPr>
              <w:rPr>
                <w:rFonts w:ascii="Georgia" w:hAnsi="Georgia"/>
                <w:noProof/>
              </w:rPr>
            </w:pPr>
            <w:r w:rsidRPr="000346F8">
              <w:rPr>
                <w:rFonts w:ascii="Georgia" w:hAnsi="Georgia"/>
                <w:noProof/>
              </w:rPr>
              <w:t>Website: None</w:t>
            </w:r>
          </w:p>
          <w:p w:rsidR="00A72C15" w:rsidRPr="000346F8" w:rsidRDefault="000346F8" w:rsidP="00FE6193">
            <w:pPr>
              <w:rPr>
                <w:rFonts w:ascii="Georgia" w:hAnsi="Georgia"/>
                <w:noProof/>
              </w:rPr>
            </w:pPr>
            <w:r w:rsidRPr="000346F8">
              <w:rPr>
                <w:rFonts w:ascii="Georgia" w:hAnsi="Georgia"/>
                <w:noProof/>
              </w:rPr>
              <w:t>Dues</w:t>
            </w:r>
            <w:r w:rsidR="00A72C15" w:rsidRPr="000346F8">
              <w:rPr>
                <w:rFonts w:ascii="Georgia" w:hAnsi="Georgia"/>
                <w:noProof/>
              </w:rPr>
              <w:t>: None</w:t>
            </w:r>
          </w:p>
          <w:p w:rsidR="00A72C15" w:rsidRPr="000346F8" w:rsidRDefault="00A72C15" w:rsidP="00FE6193">
            <w:pPr>
              <w:rPr>
                <w:rFonts w:ascii="Georgia" w:hAnsi="Georgia"/>
                <w:noProof/>
              </w:rPr>
            </w:pPr>
          </w:p>
          <w:p w:rsidR="002A5645" w:rsidRPr="000346F8" w:rsidRDefault="002A5645" w:rsidP="002A5645">
            <w:pPr>
              <w:shd w:val="clear" w:color="auto" w:fill="FFFFFF"/>
              <w:rPr>
                <w:rFonts w:ascii="Georgia" w:eastAsia="Times New Roman" w:hAnsi="Georgia" w:cs="Times New Roman"/>
                <w:i/>
              </w:rPr>
            </w:pPr>
            <w:r w:rsidRPr="000346F8">
              <w:rPr>
                <w:rFonts w:ascii="Georgia" w:eastAsia="Times New Roman" w:hAnsi="Georgia" w:cs="Times New Roman"/>
                <w:i/>
              </w:rPr>
              <w:t>The mission of the Minnesota Association of Charter School Authorizers is to increase the quality of charter school authorizi</w:t>
            </w:r>
            <w:r w:rsidR="000346F8" w:rsidRPr="000346F8">
              <w:rPr>
                <w:rFonts w:ascii="Georgia" w:eastAsia="Times New Roman" w:hAnsi="Georgia" w:cs="Times New Roman"/>
                <w:i/>
              </w:rPr>
              <w:t>ng in the state of Minnesota by</w:t>
            </w:r>
            <w:r w:rsidRPr="000346F8">
              <w:rPr>
                <w:rFonts w:ascii="Georgia" w:eastAsia="Times New Roman" w:hAnsi="Georgia" w:cs="Times New Roman"/>
                <w:i/>
              </w:rPr>
              <w:t xml:space="preserve"> developing and identifying practices and policies that ensure effective oversight and evaluation of Minnesota charter schools.</w:t>
            </w:r>
            <w:r w:rsidR="000346F8" w:rsidRPr="000346F8">
              <w:rPr>
                <w:rFonts w:ascii="Georgia" w:eastAsia="Times New Roman" w:hAnsi="Georgia" w:cs="Times New Roman"/>
                <w:i/>
              </w:rPr>
              <w:t xml:space="preserve"> We believe q</w:t>
            </w:r>
            <w:r w:rsidRPr="000346F8">
              <w:rPr>
                <w:rFonts w:ascii="Georgia" w:eastAsia="Times New Roman" w:hAnsi="Georgia" w:cs="Times New Roman"/>
                <w:i/>
              </w:rPr>
              <w:t xml:space="preserve">uality charter schools are an integral component </w:t>
            </w:r>
            <w:r w:rsidRPr="000346F8">
              <w:rPr>
                <w:rFonts w:ascii="Georgia" w:eastAsia="Times New Roman" w:hAnsi="Georgia" w:cs="Times New Roman"/>
                <w:i/>
              </w:rPr>
              <w:lastRenderedPageBreak/>
              <w:t>of a strong education system that results in exceptional academic outcomes for all students in the state of Minnesota.</w:t>
            </w:r>
          </w:p>
          <w:p w:rsidR="002A5645" w:rsidRPr="000346F8" w:rsidRDefault="002A5645" w:rsidP="00FE6193">
            <w:pPr>
              <w:rPr>
                <w:rFonts w:ascii="Georgia" w:hAnsi="Georgia"/>
                <w:noProof/>
              </w:rPr>
            </w:pPr>
          </w:p>
          <w:p w:rsidR="00A72C15" w:rsidRPr="000346F8" w:rsidRDefault="00A72C15" w:rsidP="00FE6193">
            <w:pPr>
              <w:rPr>
                <w:rFonts w:ascii="Georgia" w:hAnsi="Georgia"/>
                <w:noProof/>
              </w:rPr>
            </w:pP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lastRenderedPageBreak/>
              <w:t>Ohio</w:t>
            </w:r>
          </w:p>
        </w:tc>
        <w:tc>
          <w:tcPr>
            <w:tcW w:w="1878" w:type="dxa"/>
          </w:tcPr>
          <w:p w:rsidR="008315CB" w:rsidRPr="000346F8" w:rsidRDefault="00E07E5B" w:rsidP="00FE6193">
            <w:pPr>
              <w:rPr>
                <w:rFonts w:ascii="Georgia" w:hAnsi="Georgia"/>
                <w:noProof/>
              </w:rPr>
            </w:pPr>
            <w:r w:rsidRPr="000346F8">
              <w:rPr>
                <w:rFonts w:ascii="Georgia" w:hAnsi="Georgia"/>
                <w:noProof/>
              </w:rPr>
              <w:t>69</w:t>
            </w:r>
          </w:p>
        </w:tc>
        <w:tc>
          <w:tcPr>
            <w:tcW w:w="9000" w:type="dxa"/>
          </w:tcPr>
          <w:p w:rsidR="008315CB" w:rsidRPr="000346F8" w:rsidRDefault="00A72C15" w:rsidP="00FE6193">
            <w:pPr>
              <w:rPr>
                <w:rFonts w:ascii="Georgia" w:hAnsi="Georgia"/>
                <w:noProof/>
              </w:rPr>
            </w:pPr>
            <w:r w:rsidRPr="000346F8">
              <w:rPr>
                <w:rFonts w:ascii="Georgia" w:hAnsi="Georgia"/>
                <w:noProof/>
              </w:rPr>
              <w:t>Ohio Association of Charter School Authorizers</w:t>
            </w:r>
          </w:p>
          <w:p w:rsidR="00236C12" w:rsidRPr="000346F8" w:rsidRDefault="00236C12" w:rsidP="00FE6193">
            <w:pPr>
              <w:rPr>
                <w:rFonts w:ascii="Georgia" w:hAnsi="Georgia"/>
                <w:noProof/>
              </w:rPr>
            </w:pPr>
          </w:p>
          <w:p w:rsidR="00A72C15" w:rsidRPr="000346F8" w:rsidRDefault="00A72C15" w:rsidP="00FE6193">
            <w:pPr>
              <w:rPr>
                <w:rFonts w:ascii="Georgia" w:hAnsi="Georgia"/>
                <w:noProof/>
              </w:rPr>
            </w:pPr>
            <w:r w:rsidRPr="000346F8">
              <w:rPr>
                <w:rFonts w:ascii="Georgia" w:hAnsi="Georgia"/>
                <w:noProof/>
              </w:rPr>
              <w:t xml:space="preserve">Website: </w:t>
            </w:r>
            <w:hyperlink r:id="rId11" w:history="1">
              <w:r w:rsidRPr="000346F8">
                <w:rPr>
                  <w:rStyle w:val="Hyperlink"/>
                  <w:rFonts w:ascii="Georgia" w:hAnsi="Georgia"/>
                  <w:noProof/>
                  <w:color w:val="auto"/>
                </w:rPr>
                <w:t>http://www.oacsa.org/</w:t>
              </w:r>
            </w:hyperlink>
            <w:r w:rsidRPr="000346F8">
              <w:rPr>
                <w:rFonts w:ascii="Georgia" w:hAnsi="Georgia"/>
                <w:noProof/>
              </w:rPr>
              <w:t xml:space="preserve"> </w:t>
            </w:r>
          </w:p>
          <w:p w:rsidR="000346F8" w:rsidRPr="000346F8" w:rsidRDefault="000346F8" w:rsidP="00FE6193">
            <w:pPr>
              <w:rPr>
                <w:rFonts w:ascii="Georgia" w:hAnsi="Georgia"/>
                <w:noProof/>
              </w:rPr>
            </w:pPr>
            <w:r w:rsidRPr="000346F8">
              <w:rPr>
                <w:rFonts w:ascii="Georgia" w:hAnsi="Georgia"/>
                <w:noProof/>
              </w:rPr>
              <w:t>Dues: $1,000-$5,000</w:t>
            </w:r>
          </w:p>
          <w:p w:rsidR="00236C12" w:rsidRPr="000346F8" w:rsidRDefault="00236C12" w:rsidP="00FE6193">
            <w:pPr>
              <w:rPr>
                <w:rFonts w:ascii="Georgia" w:hAnsi="Georgia"/>
                <w:noProof/>
              </w:rPr>
            </w:pPr>
          </w:p>
          <w:p w:rsidR="00A72C15" w:rsidRPr="000346F8" w:rsidRDefault="00A72C15" w:rsidP="00FE6193">
            <w:pPr>
              <w:rPr>
                <w:rFonts w:ascii="Georgia" w:hAnsi="Georgia"/>
                <w:i/>
                <w:noProof/>
              </w:rPr>
            </w:pPr>
            <w:r w:rsidRPr="000346F8">
              <w:rPr>
                <w:rFonts w:ascii="Georgia" w:hAnsi="Georgia" w:cs="Arial"/>
                <w:i/>
              </w:rPr>
              <w:t>The Ohio Association of Charter School Authorizers has been formed to represent all Ohio authorizers. We promote sponsor excellence, effectiveness and efficiency to create and maintain high-quality community schools through quality oversight and support. We seek to be the resource/focal point for pooling resources so that all sponsors can achieve their goals of authorizing and supporting schools that produce student success.</w:t>
            </w:r>
          </w:p>
        </w:tc>
      </w:tr>
      <w:tr w:rsidR="000346F8" w:rsidRPr="000346F8" w:rsidTr="00D77F9D">
        <w:trPr>
          <w:trHeight w:val="620"/>
        </w:trPr>
        <w:tc>
          <w:tcPr>
            <w:tcW w:w="1717" w:type="dxa"/>
          </w:tcPr>
          <w:p w:rsidR="008315CB" w:rsidRPr="000346F8" w:rsidRDefault="00FE6193" w:rsidP="00FE6193">
            <w:pPr>
              <w:rPr>
                <w:rFonts w:ascii="Georgia" w:hAnsi="Georgia"/>
                <w:noProof/>
              </w:rPr>
            </w:pPr>
            <w:r w:rsidRPr="000346F8">
              <w:rPr>
                <w:rFonts w:ascii="Georgia" w:hAnsi="Georgia"/>
                <w:noProof/>
              </w:rPr>
              <w:t>Oklahoma</w:t>
            </w:r>
          </w:p>
        </w:tc>
        <w:tc>
          <w:tcPr>
            <w:tcW w:w="1878" w:type="dxa"/>
          </w:tcPr>
          <w:p w:rsidR="008315CB" w:rsidRPr="000346F8" w:rsidRDefault="00FE6193" w:rsidP="00FE6193">
            <w:pPr>
              <w:rPr>
                <w:rFonts w:ascii="Georgia" w:hAnsi="Georgia"/>
                <w:noProof/>
              </w:rPr>
            </w:pPr>
            <w:r w:rsidRPr="000346F8">
              <w:rPr>
                <w:rFonts w:ascii="Georgia" w:hAnsi="Georgia"/>
                <w:noProof/>
              </w:rPr>
              <w:t>7</w:t>
            </w:r>
          </w:p>
        </w:tc>
        <w:tc>
          <w:tcPr>
            <w:tcW w:w="9000" w:type="dxa"/>
          </w:tcPr>
          <w:p w:rsidR="008315CB" w:rsidRPr="000346F8" w:rsidRDefault="00236C12" w:rsidP="00FE6193">
            <w:pPr>
              <w:rPr>
                <w:rFonts w:ascii="Georgia" w:hAnsi="Georgia"/>
                <w:noProof/>
              </w:rPr>
            </w:pPr>
            <w:r w:rsidRPr="000346F8">
              <w:rPr>
                <w:rFonts w:ascii="Georgia" w:hAnsi="Georgia"/>
                <w:noProof/>
              </w:rPr>
              <w:t>Unknown</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Oregon</w:t>
            </w:r>
          </w:p>
        </w:tc>
        <w:tc>
          <w:tcPr>
            <w:tcW w:w="1878" w:type="dxa"/>
          </w:tcPr>
          <w:p w:rsidR="008315CB" w:rsidRPr="000346F8" w:rsidRDefault="00FE6193" w:rsidP="00FE6193">
            <w:pPr>
              <w:rPr>
                <w:rFonts w:ascii="Georgia" w:hAnsi="Georgia"/>
                <w:noProof/>
              </w:rPr>
            </w:pPr>
            <w:r w:rsidRPr="000346F8">
              <w:rPr>
                <w:rFonts w:ascii="Georgia" w:hAnsi="Georgia"/>
                <w:noProof/>
              </w:rPr>
              <w:t>76</w:t>
            </w:r>
          </w:p>
        </w:tc>
        <w:tc>
          <w:tcPr>
            <w:tcW w:w="9000" w:type="dxa"/>
          </w:tcPr>
          <w:p w:rsidR="008315CB" w:rsidRPr="000346F8" w:rsidRDefault="00236C12" w:rsidP="00FE6193">
            <w:pPr>
              <w:rPr>
                <w:rFonts w:ascii="Georgia" w:hAnsi="Georgia"/>
                <w:noProof/>
              </w:rPr>
            </w:pPr>
            <w:r w:rsidRPr="000346F8">
              <w:rPr>
                <w:rFonts w:ascii="Georgia" w:hAnsi="Georgia"/>
                <w:noProof/>
              </w:rPr>
              <w:t>Unknown</w:t>
            </w:r>
          </w:p>
        </w:tc>
      </w:tr>
      <w:tr w:rsidR="000346F8" w:rsidRPr="000346F8" w:rsidTr="00D77F9D">
        <w:trPr>
          <w:trHeight w:val="620"/>
        </w:trPr>
        <w:tc>
          <w:tcPr>
            <w:tcW w:w="1717" w:type="dxa"/>
          </w:tcPr>
          <w:p w:rsidR="008315CB" w:rsidRPr="000346F8" w:rsidRDefault="008315CB" w:rsidP="00FE6193">
            <w:pPr>
              <w:rPr>
                <w:rFonts w:ascii="Georgia" w:hAnsi="Georgia"/>
                <w:noProof/>
              </w:rPr>
            </w:pPr>
            <w:r w:rsidRPr="000346F8">
              <w:rPr>
                <w:rFonts w:ascii="Georgia" w:hAnsi="Georgia"/>
                <w:noProof/>
              </w:rPr>
              <w:t>Tennessee</w:t>
            </w:r>
          </w:p>
        </w:tc>
        <w:tc>
          <w:tcPr>
            <w:tcW w:w="1878" w:type="dxa"/>
          </w:tcPr>
          <w:p w:rsidR="008315CB" w:rsidRPr="000346F8" w:rsidRDefault="00FE6193" w:rsidP="00FE6193">
            <w:pPr>
              <w:rPr>
                <w:rFonts w:ascii="Georgia" w:hAnsi="Georgia"/>
                <w:noProof/>
              </w:rPr>
            </w:pPr>
            <w:r w:rsidRPr="000346F8">
              <w:rPr>
                <w:rFonts w:ascii="Georgia" w:hAnsi="Georgia"/>
                <w:noProof/>
              </w:rPr>
              <w:t>5</w:t>
            </w:r>
          </w:p>
        </w:tc>
        <w:tc>
          <w:tcPr>
            <w:tcW w:w="9000" w:type="dxa"/>
          </w:tcPr>
          <w:p w:rsidR="00D77F9D" w:rsidRPr="000346F8" w:rsidRDefault="00D77F9D" w:rsidP="00FE6193">
            <w:pPr>
              <w:rPr>
                <w:rFonts w:ascii="Georgia" w:hAnsi="Georgia"/>
                <w:noProof/>
              </w:rPr>
            </w:pPr>
            <w:r w:rsidRPr="000346F8">
              <w:rPr>
                <w:rFonts w:ascii="Georgia" w:hAnsi="Georgia"/>
                <w:noProof/>
              </w:rPr>
              <w:t>Tennessee Association of Charter School Authorizers</w:t>
            </w:r>
          </w:p>
          <w:p w:rsidR="00236C12" w:rsidRPr="000346F8" w:rsidRDefault="00236C12" w:rsidP="00FE6193">
            <w:pPr>
              <w:rPr>
                <w:rFonts w:ascii="Georgia" w:hAnsi="Georgia"/>
                <w:noProof/>
              </w:rPr>
            </w:pPr>
          </w:p>
          <w:p w:rsidR="008315CB" w:rsidRPr="000346F8" w:rsidRDefault="00FE6193" w:rsidP="00FE6193">
            <w:pPr>
              <w:rPr>
                <w:rFonts w:ascii="Georgia" w:hAnsi="Georgia"/>
                <w:noProof/>
              </w:rPr>
            </w:pPr>
            <w:r w:rsidRPr="000346F8">
              <w:rPr>
                <w:rFonts w:ascii="Georgia" w:hAnsi="Georgia"/>
                <w:noProof/>
              </w:rPr>
              <w:t xml:space="preserve">Website: </w:t>
            </w:r>
            <w:hyperlink r:id="rId12" w:history="1">
              <w:r w:rsidRPr="000346F8">
                <w:rPr>
                  <w:rStyle w:val="Hyperlink"/>
                  <w:rFonts w:ascii="Georgia" w:hAnsi="Georgia"/>
                  <w:noProof/>
                  <w:color w:val="auto"/>
                </w:rPr>
                <w:t>http://www.tncharterquality.org/2016/05</w:t>
              </w:r>
            </w:hyperlink>
            <w:r w:rsidRPr="000346F8">
              <w:rPr>
                <w:rFonts w:ascii="Georgia" w:hAnsi="Georgia"/>
                <w:noProof/>
              </w:rPr>
              <w:t xml:space="preserve"> </w:t>
            </w:r>
          </w:p>
          <w:p w:rsidR="00A5422C" w:rsidRPr="000346F8" w:rsidRDefault="000346F8" w:rsidP="00FE6193">
            <w:pPr>
              <w:rPr>
                <w:rFonts w:ascii="Georgia" w:hAnsi="Georgia"/>
                <w:noProof/>
              </w:rPr>
            </w:pPr>
            <w:r w:rsidRPr="000346F8">
              <w:rPr>
                <w:rFonts w:ascii="Georgia" w:hAnsi="Georgia"/>
                <w:noProof/>
              </w:rPr>
              <w:t>D</w:t>
            </w:r>
            <w:r w:rsidR="00A5422C" w:rsidRPr="000346F8">
              <w:rPr>
                <w:rFonts w:ascii="Georgia" w:hAnsi="Georgia"/>
                <w:noProof/>
              </w:rPr>
              <w:t xml:space="preserve">ues: Yes – </w:t>
            </w:r>
            <w:r w:rsidR="002A5645" w:rsidRPr="000346F8">
              <w:rPr>
                <w:rFonts w:ascii="Georgia" w:hAnsi="Georgia"/>
                <w:noProof/>
              </w:rPr>
              <w:t>(</w:t>
            </w:r>
            <w:r w:rsidR="00A5422C" w:rsidRPr="000346F8">
              <w:rPr>
                <w:rFonts w:ascii="Georgia" w:hAnsi="Georgia"/>
                <w:noProof/>
              </w:rPr>
              <w:t>Proposed</w:t>
            </w:r>
            <w:r w:rsidR="002A5645" w:rsidRPr="000346F8">
              <w:rPr>
                <w:rFonts w:ascii="Georgia" w:hAnsi="Georgia"/>
                <w:noProof/>
              </w:rPr>
              <w:t>)</w:t>
            </w:r>
            <w:r w:rsidR="00A5422C" w:rsidRPr="000346F8">
              <w:rPr>
                <w:rFonts w:ascii="Georgia" w:hAnsi="Georgia"/>
                <w:noProof/>
              </w:rPr>
              <w:t xml:space="preserve"> $25-$200 </w:t>
            </w:r>
          </w:p>
          <w:p w:rsidR="00236C12" w:rsidRPr="000346F8" w:rsidRDefault="00236C12" w:rsidP="00FE6193">
            <w:pPr>
              <w:rPr>
                <w:rFonts w:ascii="Georgia" w:hAnsi="Georgia"/>
                <w:noProof/>
              </w:rPr>
            </w:pPr>
          </w:p>
          <w:p w:rsidR="00D77F9D" w:rsidRPr="000346F8" w:rsidRDefault="00D77F9D" w:rsidP="00FE6193">
            <w:pPr>
              <w:rPr>
                <w:rFonts w:ascii="Georgia" w:hAnsi="Georgia"/>
                <w:i/>
                <w:noProof/>
              </w:rPr>
            </w:pPr>
            <w:r w:rsidRPr="000346F8">
              <w:rPr>
                <w:rFonts w:ascii="Georgia" w:hAnsi="Georgia"/>
                <w:i/>
                <w:noProof/>
              </w:rPr>
              <w:t xml:space="preserve">A Professional Association for Charter School Authorizers in Tennessee. </w:t>
            </w:r>
            <w:r w:rsidRPr="000346F8">
              <w:rPr>
                <w:rFonts w:ascii="Georgia" w:hAnsi="Georgia"/>
                <w:i/>
              </w:rPr>
              <w:t>The main purpose of the Organization is to advance excellence and accountability in the authorization and oversight of charter schools in Tennessee.  Equally important is to create a professional pipeline for authorizing, develop authorizer talents and abilities, offer statewide standards, and develop expertise that results in making Tennessee a national model of excellence in charter authorizing. In Tennessee, every LEA is a potential charter school authorizer in addition to the State’s Achievement School District (ASD). The Tennessee State Board of Education is also an appellate authorizer of schools in the state.</w:t>
            </w:r>
          </w:p>
        </w:tc>
      </w:tr>
    </w:tbl>
    <w:p w:rsidR="002011F5" w:rsidRPr="000346F8" w:rsidRDefault="002011F5" w:rsidP="000346F8">
      <w:pPr>
        <w:jc w:val="center"/>
        <w:rPr>
          <w:rFonts w:ascii="Georgia" w:hAnsi="Georgia"/>
        </w:rPr>
      </w:pPr>
    </w:p>
    <w:sectPr w:rsidR="002011F5" w:rsidRPr="000346F8" w:rsidSect="0003724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37" w:rsidRDefault="00594337" w:rsidP="0003724E">
      <w:pPr>
        <w:spacing w:after="0" w:line="240" w:lineRule="auto"/>
      </w:pPr>
      <w:r>
        <w:separator/>
      </w:r>
    </w:p>
  </w:endnote>
  <w:endnote w:type="continuationSeparator" w:id="0">
    <w:p w:rsidR="00594337" w:rsidRDefault="00594337" w:rsidP="0003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37" w:rsidRDefault="00594337" w:rsidP="0003724E">
      <w:pPr>
        <w:spacing w:after="0" w:line="240" w:lineRule="auto"/>
      </w:pPr>
      <w:r>
        <w:separator/>
      </w:r>
    </w:p>
  </w:footnote>
  <w:footnote w:type="continuationSeparator" w:id="0">
    <w:p w:rsidR="00594337" w:rsidRDefault="00594337" w:rsidP="00037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1BF3"/>
    <w:multiLevelType w:val="multilevel"/>
    <w:tmpl w:val="0042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964F2C"/>
    <w:multiLevelType w:val="hybridMultilevel"/>
    <w:tmpl w:val="B20038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4E"/>
    <w:rsid w:val="000346F8"/>
    <w:rsid w:val="0003724E"/>
    <w:rsid w:val="002011F5"/>
    <w:rsid w:val="00236C12"/>
    <w:rsid w:val="002A5645"/>
    <w:rsid w:val="00326223"/>
    <w:rsid w:val="00474DBD"/>
    <w:rsid w:val="00594337"/>
    <w:rsid w:val="005B019F"/>
    <w:rsid w:val="00655719"/>
    <w:rsid w:val="008315CB"/>
    <w:rsid w:val="00A5422C"/>
    <w:rsid w:val="00A72C15"/>
    <w:rsid w:val="00D24D51"/>
    <w:rsid w:val="00D77F9D"/>
    <w:rsid w:val="00E07E5B"/>
    <w:rsid w:val="00F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6A61C-BF5E-48BC-B42A-6D97916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4E"/>
  </w:style>
  <w:style w:type="paragraph" w:styleId="Footer">
    <w:name w:val="footer"/>
    <w:basedOn w:val="Normal"/>
    <w:link w:val="FooterChar"/>
    <w:uiPriority w:val="99"/>
    <w:unhideWhenUsed/>
    <w:rsid w:val="0003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4E"/>
  </w:style>
  <w:style w:type="table" w:styleId="TableGrid">
    <w:name w:val="Table Grid"/>
    <w:basedOn w:val="TableNormal"/>
    <w:uiPriority w:val="39"/>
    <w:rsid w:val="0003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193"/>
    <w:rPr>
      <w:color w:val="0563C1" w:themeColor="hyperlink"/>
      <w:u w:val="single"/>
    </w:rPr>
  </w:style>
  <w:style w:type="character" w:styleId="Emphasis">
    <w:name w:val="Emphasis"/>
    <w:basedOn w:val="DefaultParagraphFont"/>
    <w:uiPriority w:val="20"/>
    <w:qFormat/>
    <w:rsid w:val="00FE6193"/>
    <w:rPr>
      <w:i/>
      <w:iCs/>
    </w:rPr>
  </w:style>
  <w:style w:type="paragraph" w:styleId="ListParagraph">
    <w:name w:val="List Paragraph"/>
    <w:basedOn w:val="Normal"/>
    <w:uiPriority w:val="34"/>
    <w:qFormat/>
    <w:rsid w:val="00236C12"/>
    <w:pPr>
      <w:ind w:left="720"/>
      <w:contextualSpacing/>
    </w:pPr>
  </w:style>
  <w:style w:type="paragraph" w:styleId="NormalWeb">
    <w:name w:val="Normal (Web)"/>
    <w:basedOn w:val="Normal"/>
    <w:uiPriority w:val="99"/>
    <w:semiHidden/>
    <w:unhideWhenUsed/>
    <w:rsid w:val="005B019F"/>
    <w:pPr>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0030">
      <w:bodyDiv w:val="1"/>
      <w:marLeft w:val="0"/>
      <w:marRight w:val="0"/>
      <w:marTop w:val="0"/>
      <w:marBottom w:val="0"/>
      <w:divBdr>
        <w:top w:val="none" w:sz="0" w:space="0" w:color="auto"/>
        <w:left w:val="none" w:sz="0" w:space="0" w:color="auto"/>
        <w:bottom w:val="none" w:sz="0" w:space="0" w:color="auto"/>
        <w:right w:val="none" w:sz="0" w:space="0" w:color="auto"/>
      </w:divBdr>
      <w:divsChild>
        <w:div w:id="1151872401">
          <w:marLeft w:val="0"/>
          <w:marRight w:val="0"/>
          <w:marTop w:val="150"/>
          <w:marBottom w:val="150"/>
          <w:divBdr>
            <w:top w:val="none" w:sz="0" w:space="0" w:color="auto"/>
            <w:left w:val="none" w:sz="0" w:space="0" w:color="auto"/>
            <w:bottom w:val="none" w:sz="0" w:space="0" w:color="auto"/>
            <w:right w:val="none" w:sz="0" w:space="0" w:color="auto"/>
          </w:divBdr>
          <w:divsChild>
            <w:div w:id="1301223864">
              <w:marLeft w:val="0"/>
              <w:marRight w:val="0"/>
              <w:marTop w:val="0"/>
              <w:marBottom w:val="0"/>
              <w:divBdr>
                <w:top w:val="none" w:sz="0" w:space="0" w:color="auto"/>
                <w:left w:val="none" w:sz="0" w:space="0" w:color="auto"/>
                <w:bottom w:val="none" w:sz="0" w:space="0" w:color="auto"/>
                <w:right w:val="none" w:sz="0" w:space="0" w:color="auto"/>
              </w:divBdr>
              <w:divsChild>
                <w:div w:id="899828183">
                  <w:marLeft w:val="0"/>
                  <w:marRight w:val="0"/>
                  <w:marTop w:val="0"/>
                  <w:marBottom w:val="0"/>
                  <w:divBdr>
                    <w:top w:val="none" w:sz="0" w:space="0" w:color="auto"/>
                    <w:left w:val="none" w:sz="0" w:space="0" w:color="auto"/>
                    <w:bottom w:val="none" w:sz="0" w:space="0" w:color="auto"/>
                    <w:right w:val="none" w:sz="0" w:space="0" w:color="auto"/>
                  </w:divBdr>
                  <w:divsChild>
                    <w:div w:id="87116983">
                      <w:marLeft w:val="0"/>
                      <w:marRight w:val="0"/>
                      <w:marTop w:val="0"/>
                      <w:marBottom w:val="0"/>
                      <w:divBdr>
                        <w:top w:val="none" w:sz="0" w:space="0" w:color="auto"/>
                        <w:left w:val="none" w:sz="0" w:space="0" w:color="auto"/>
                        <w:bottom w:val="none" w:sz="0" w:space="0" w:color="auto"/>
                        <w:right w:val="none" w:sz="0" w:space="0" w:color="auto"/>
                      </w:divBdr>
                      <w:divsChild>
                        <w:div w:id="599222529">
                          <w:marLeft w:val="0"/>
                          <w:marRight w:val="0"/>
                          <w:marTop w:val="0"/>
                          <w:marBottom w:val="0"/>
                          <w:divBdr>
                            <w:top w:val="none" w:sz="0" w:space="0" w:color="auto"/>
                            <w:left w:val="none" w:sz="0" w:space="0" w:color="auto"/>
                            <w:bottom w:val="none" w:sz="0" w:space="0" w:color="auto"/>
                            <w:right w:val="none" w:sz="0" w:space="0" w:color="auto"/>
                          </w:divBdr>
                          <w:divsChild>
                            <w:div w:id="329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90249">
      <w:bodyDiv w:val="1"/>
      <w:marLeft w:val="0"/>
      <w:marRight w:val="0"/>
      <w:marTop w:val="0"/>
      <w:marBottom w:val="0"/>
      <w:divBdr>
        <w:top w:val="none" w:sz="0" w:space="0" w:color="auto"/>
        <w:left w:val="none" w:sz="0" w:space="0" w:color="auto"/>
        <w:bottom w:val="none" w:sz="0" w:space="0" w:color="auto"/>
        <w:right w:val="none" w:sz="0" w:space="0" w:color="auto"/>
      </w:divBdr>
      <w:divsChild>
        <w:div w:id="1934393148">
          <w:marLeft w:val="0"/>
          <w:marRight w:val="0"/>
          <w:marTop w:val="0"/>
          <w:marBottom w:val="0"/>
          <w:divBdr>
            <w:top w:val="none" w:sz="0" w:space="0" w:color="auto"/>
            <w:left w:val="none" w:sz="0" w:space="0" w:color="auto"/>
            <w:bottom w:val="none" w:sz="0" w:space="0" w:color="auto"/>
            <w:right w:val="none" w:sz="0" w:space="0" w:color="auto"/>
          </w:divBdr>
          <w:divsChild>
            <w:div w:id="1186597772">
              <w:marLeft w:val="0"/>
              <w:marRight w:val="0"/>
              <w:marTop w:val="0"/>
              <w:marBottom w:val="0"/>
              <w:divBdr>
                <w:top w:val="none" w:sz="0" w:space="0" w:color="auto"/>
                <w:left w:val="none" w:sz="0" w:space="0" w:color="auto"/>
                <w:bottom w:val="none" w:sz="0" w:space="0" w:color="auto"/>
                <w:right w:val="none" w:sz="0" w:space="0" w:color="auto"/>
              </w:divBdr>
              <w:divsChild>
                <w:div w:id="1292593952">
                  <w:marLeft w:val="0"/>
                  <w:marRight w:val="0"/>
                  <w:marTop w:val="0"/>
                  <w:marBottom w:val="0"/>
                  <w:divBdr>
                    <w:top w:val="none" w:sz="0" w:space="0" w:color="auto"/>
                    <w:left w:val="none" w:sz="0" w:space="0" w:color="auto"/>
                    <w:bottom w:val="none" w:sz="0" w:space="0" w:color="auto"/>
                    <w:right w:val="none" w:sz="0" w:space="0" w:color="auto"/>
                  </w:divBdr>
                  <w:divsChild>
                    <w:div w:id="238831503">
                      <w:marLeft w:val="150"/>
                      <w:marRight w:val="150"/>
                      <w:marTop w:val="0"/>
                      <w:marBottom w:val="0"/>
                      <w:divBdr>
                        <w:top w:val="none" w:sz="0" w:space="0" w:color="auto"/>
                        <w:left w:val="none" w:sz="0" w:space="0" w:color="auto"/>
                        <w:bottom w:val="none" w:sz="0" w:space="0" w:color="auto"/>
                        <w:right w:val="none" w:sz="0" w:space="0" w:color="auto"/>
                      </w:divBdr>
                      <w:divsChild>
                        <w:div w:id="1469057492">
                          <w:marLeft w:val="0"/>
                          <w:marRight w:val="0"/>
                          <w:marTop w:val="0"/>
                          <w:marBottom w:val="0"/>
                          <w:divBdr>
                            <w:top w:val="none" w:sz="0" w:space="0" w:color="auto"/>
                            <w:left w:val="none" w:sz="0" w:space="0" w:color="auto"/>
                            <w:bottom w:val="none" w:sz="0" w:space="0" w:color="auto"/>
                            <w:right w:val="none" w:sz="0" w:space="0" w:color="auto"/>
                          </w:divBdr>
                          <w:divsChild>
                            <w:div w:id="1185897104">
                              <w:marLeft w:val="0"/>
                              <w:marRight w:val="0"/>
                              <w:marTop w:val="0"/>
                              <w:marBottom w:val="0"/>
                              <w:divBdr>
                                <w:top w:val="none" w:sz="0" w:space="0" w:color="auto"/>
                                <w:left w:val="none" w:sz="0" w:space="0" w:color="auto"/>
                                <w:bottom w:val="none" w:sz="0" w:space="0" w:color="auto"/>
                                <w:right w:val="none" w:sz="0" w:space="0" w:color="auto"/>
                              </w:divBdr>
                              <w:divsChild>
                                <w:div w:id="689648335">
                                  <w:marLeft w:val="0"/>
                                  <w:marRight w:val="0"/>
                                  <w:marTop w:val="0"/>
                                  <w:marBottom w:val="0"/>
                                  <w:divBdr>
                                    <w:top w:val="none" w:sz="0" w:space="0" w:color="auto"/>
                                    <w:left w:val="none" w:sz="0" w:space="0" w:color="auto"/>
                                    <w:bottom w:val="none" w:sz="0" w:space="0" w:color="auto"/>
                                    <w:right w:val="none" w:sz="0" w:space="0" w:color="auto"/>
                                  </w:divBdr>
                                  <w:divsChild>
                                    <w:div w:id="2510568">
                                      <w:marLeft w:val="0"/>
                                      <w:marRight w:val="0"/>
                                      <w:marTop w:val="0"/>
                                      <w:marBottom w:val="0"/>
                                      <w:divBdr>
                                        <w:top w:val="none" w:sz="0" w:space="0" w:color="auto"/>
                                        <w:left w:val="none" w:sz="0" w:space="0" w:color="auto"/>
                                        <w:bottom w:val="none" w:sz="0" w:space="0" w:color="auto"/>
                                        <w:right w:val="none" w:sz="0" w:space="0" w:color="auto"/>
                                      </w:divBdr>
                                      <w:divsChild>
                                        <w:div w:id="1800175585">
                                          <w:marLeft w:val="0"/>
                                          <w:marRight w:val="0"/>
                                          <w:marTop w:val="0"/>
                                          <w:marBottom w:val="0"/>
                                          <w:divBdr>
                                            <w:top w:val="none" w:sz="0" w:space="0" w:color="auto"/>
                                            <w:left w:val="none" w:sz="0" w:space="0" w:color="auto"/>
                                            <w:bottom w:val="none" w:sz="0" w:space="0" w:color="auto"/>
                                            <w:right w:val="none" w:sz="0" w:space="0" w:color="auto"/>
                                          </w:divBdr>
                                          <w:divsChild>
                                            <w:div w:id="1698433157">
                                              <w:marLeft w:val="0"/>
                                              <w:marRight w:val="0"/>
                                              <w:marTop w:val="0"/>
                                              <w:marBottom w:val="0"/>
                                              <w:divBdr>
                                                <w:top w:val="none" w:sz="0" w:space="0" w:color="auto"/>
                                                <w:left w:val="none" w:sz="0" w:space="0" w:color="auto"/>
                                                <w:bottom w:val="none" w:sz="0" w:space="0" w:color="auto"/>
                                                <w:right w:val="none" w:sz="0" w:space="0" w:color="auto"/>
                                              </w:divBdr>
                                              <w:divsChild>
                                                <w:div w:id="1207180389">
                                                  <w:marLeft w:val="0"/>
                                                  <w:marRight w:val="0"/>
                                                  <w:marTop w:val="0"/>
                                                  <w:marBottom w:val="0"/>
                                                  <w:divBdr>
                                                    <w:top w:val="none" w:sz="0" w:space="0" w:color="auto"/>
                                                    <w:left w:val="none" w:sz="0" w:space="0" w:color="auto"/>
                                                    <w:bottom w:val="none" w:sz="0" w:space="0" w:color="auto"/>
                                                    <w:right w:val="none" w:sz="0" w:space="0" w:color="auto"/>
                                                  </w:divBdr>
                                                  <w:divsChild>
                                                    <w:div w:id="6593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37186">
      <w:bodyDiv w:val="1"/>
      <w:marLeft w:val="0"/>
      <w:marRight w:val="0"/>
      <w:marTop w:val="0"/>
      <w:marBottom w:val="0"/>
      <w:divBdr>
        <w:top w:val="none" w:sz="0" w:space="0" w:color="auto"/>
        <w:left w:val="none" w:sz="0" w:space="0" w:color="auto"/>
        <w:bottom w:val="none" w:sz="0" w:space="0" w:color="auto"/>
        <w:right w:val="none" w:sz="0" w:space="0" w:color="auto"/>
      </w:divBdr>
      <w:divsChild>
        <w:div w:id="1037508715">
          <w:marLeft w:val="0"/>
          <w:marRight w:val="0"/>
          <w:marTop w:val="0"/>
          <w:marBottom w:val="0"/>
          <w:divBdr>
            <w:top w:val="none" w:sz="0" w:space="0" w:color="auto"/>
            <w:left w:val="none" w:sz="0" w:space="0" w:color="auto"/>
            <w:bottom w:val="none" w:sz="0" w:space="0" w:color="auto"/>
            <w:right w:val="none" w:sz="0" w:space="0" w:color="auto"/>
          </w:divBdr>
          <w:divsChild>
            <w:div w:id="923487666">
              <w:marLeft w:val="0"/>
              <w:marRight w:val="0"/>
              <w:marTop w:val="0"/>
              <w:marBottom w:val="0"/>
              <w:divBdr>
                <w:top w:val="none" w:sz="0" w:space="0" w:color="auto"/>
                <w:left w:val="none" w:sz="0" w:space="0" w:color="auto"/>
                <w:bottom w:val="none" w:sz="0" w:space="0" w:color="auto"/>
                <w:right w:val="none" w:sz="0" w:space="0" w:color="auto"/>
              </w:divBdr>
              <w:divsChild>
                <w:div w:id="1354503044">
                  <w:marLeft w:val="0"/>
                  <w:marRight w:val="0"/>
                  <w:marTop w:val="0"/>
                  <w:marBottom w:val="0"/>
                  <w:divBdr>
                    <w:top w:val="none" w:sz="0" w:space="0" w:color="auto"/>
                    <w:left w:val="none" w:sz="0" w:space="0" w:color="auto"/>
                    <w:bottom w:val="none" w:sz="0" w:space="0" w:color="auto"/>
                    <w:right w:val="none" w:sz="0" w:space="0" w:color="auto"/>
                  </w:divBdr>
                  <w:divsChild>
                    <w:div w:id="399643314">
                      <w:marLeft w:val="150"/>
                      <w:marRight w:val="150"/>
                      <w:marTop w:val="0"/>
                      <w:marBottom w:val="0"/>
                      <w:divBdr>
                        <w:top w:val="none" w:sz="0" w:space="0" w:color="auto"/>
                        <w:left w:val="none" w:sz="0" w:space="0" w:color="auto"/>
                        <w:bottom w:val="none" w:sz="0" w:space="0" w:color="auto"/>
                        <w:right w:val="none" w:sz="0" w:space="0" w:color="auto"/>
                      </w:divBdr>
                      <w:divsChild>
                        <w:div w:id="1160655342">
                          <w:marLeft w:val="0"/>
                          <w:marRight w:val="0"/>
                          <w:marTop w:val="0"/>
                          <w:marBottom w:val="0"/>
                          <w:divBdr>
                            <w:top w:val="none" w:sz="0" w:space="0" w:color="auto"/>
                            <w:left w:val="none" w:sz="0" w:space="0" w:color="auto"/>
                            <w:bottom w:val="none" w:sz="0" w:space="0" w:color="auto"/>
                            <w:right w:val="none" w:sz="0" w:space="0" w:color="auto"/>
                          </w:divBdr>
                          <w:divsChild>
                            <w:div w:id="902330865">
                              <w:marLeft w:val="0"/>
                              <w:marRight w:val="0"/>
                              <w:marTop w:val="0"/>
                              <w:marBottom w:val="0"/>
                              <w:divBdr>
                                <w:top w:val="none" w:sz="0" w:space="0" w:color="auto"/>
                                <w:left w:val="none" w:sz="0" w:space="0" w:color="auto"/>
                                <w:bottom w:val="none" w:sz="0" w:space="0" w:color="auto"/>
                                <w:right w:val="none" w:sz="0" w:space="0" w:color="auto"/>
                              </w:divBdr>
                              <w:divsChild>
                                <w:div w:id="948050053">
                                  <w:marLeft w:val="0"/>
                                  <w:marRight w:val="0"/>
                                  <w:marTop w:val="0"/>
                                  <w:marBottom w:val="0"/>
                                  <w:divBdr>
                                    <w:top w:val="none" w:sz="0" w:space="0" w:color="auto"/>
                                    <w:left w:val="none" w:sz="0" w:space="0" w:color="auto"/>
                                    <w:bottom w:val="none" w:sz="0" w:space="0" w:color="auto"/>
                                    <w:right w:val="none" w:sz="0" w:space="0" w:color="auto"/>
                                  </w:divBdr>
                                  <w:divsChild>
                                    <w:div w:id="1524434852">
                                      <w:marLeft w:val="0"/>
                                      <w:marRight w:val="0"/>
                                      <w:marTop w:val="0"/>
                                      <w:marBottom w:val="0"/>
                                      <w:divBdr>
                                        <w:top w:val="none" w:sz="0" w:space="0" w:color="auto"/>
                                        <w:left w:val="none" w:sz="0" w:space="0" w:color="auto"/>
                                        <w:bottom w:val="none" w:sz="0" w:space="0" w:color="auto"/>
                                        <w:right w:val="none" w:sz="0" w:space="0" w:color="auto"/>
                                      </w:divBdr>
                                      <w:divsChild>
                                        <w:div w:id="284695690">
                                          <w:marLeft w:val="0"/>
                                          <w:marRight w:val="0"/>
                                          <w:marTop w:val="0"/>
                                          <w:marBottom w:val="0"/>
                                          <w:divBdr>
                                            <w:top w:val="none" w:sz="0" w:space="0" w:color="auto"/>
                                            <w:left w:val="none" w:sz="0" w:space="0" w:color="auto"/>
                                            <w:bottom w:val="none" w:sz="0" w:space="0" w:color="auto"/>
                                            <w:right w:val="none" w:sz="0" w:space="0" w:color="auto"/>
                                          </w:divBdr>
                                          <w:divsChild>
                                            <w:div w:id="642272535">
                                              <w:marLeft w:val="0"/>
                                              <w:marRight w:val="0"/>
                                              <w:marTop w:val="0"/>
                                              <w:marBottom w:val="0"/>
                                              <w:divBdr>
                                                <w:top w:val="none" w:sz="0" w:space="0" w:color="auto"/>
                                                <w:left w:val="none" w:sz="0" w:space="0" w:color="auto"/>
                                                <w:bottom w:val="none" w:sz="0" w:space="0" w:color="auto"/>
                                                <w:right w:val="none" w:sz="0" w:space="0" w:color="auto"/>
                                              </w:divBdr>
                                              <w:divsChild>
                                                <w:div w:id="1129587208">
                                                  <w:marLeft w:val="0"/>
                                                  <w:marRight w:val="0"/>
                                                  <w:marTop w:val="0"/>
                                                  <w:marBottom w:val="0"/>
                                                  <w:divBdr>
                                                    <w:top w:val="none" w:sz="0" w:space="0" w:color="auto"/>
                                                    <w:left w:val="none" w:sz="0" w:space="0" w:color="auto"/>
                                                    <w:bottom w:val="none" w:sz="0" w:space="0" w:color="auto"/>
                                                    <w:right w:val="none" w:sz="0" w:space="0" w:color="auto"/>
                                                  </w:divBdr>
                                                  <w:divsChild>
                                                    <w:div w:id="569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authoriz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snet.org/" TargetMode="External"/><Relationship Id="rId12" Type="http://schemas.openxmlformats.org/officeDocument/2006/relationships/hyperlink" Target="http://www.tncharterquality.org/201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csa.org/" TargetMode="External"/><Relationship Id="rId5" Type="http://schemas.openxmlformats.org/officeDocument/2006/relationships/footnotes" Target="footnotes.xml"/><Relationship Id="rId10" Type="http://schemas.openxmlformats.org/officeDocument/2006/relationships/hyperlink" Target="http://michiganauthorizers.com/" TargetMode="External"/><Relationship Id="rId4" Type="http://schemas.openxmlformats.org/officeDocument/2006/relationships/webSettings" Target="webSettings.xml"/><Relationship Id="rId9" Type="http://schemas.openxmlformats.org/officeDocument/2006/relationships/hyperlink" Target="http://www.floridacharterauthoriz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Healy, Molly E.</dc:creator>
  <cp:keywords/>
  <dc:description/>
  <cp:lastModifiedBy>Christina Ricordati</cp:lastModifiedBy>
  <cp:revision>2</cp:revision>
  <dcterms:created xsi:type="dcterms:W3CDTF">2016-10-17T21:26:00Z</dcterms:created>
  <dcterms:modified xsi:type="dcterms:W3CDTF">2016-10-17T21:26:00Z</dcterms:modified>
</cp:coreProperties>
</file>